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2CAB5" w:themeColor="background2" w:themeShade="E5"/>
  <w:body>
    <w:p w14:paraId="55148494" w14:textId="1691AE30" w:rsidR="002C7EAA" w:rsidRPr="001568B2" w:rsidRDefault="00BF4090" w:rsidP="00B06B22">
      <w:pPr>
        <w:pStyle w:val="Heading1"/>
        <w:tabs>
          <w:tab w:val="left" w:pos="6570"/>
        </w:tabs>
        <w:ind w:left="90" w:right="0"/>
        <w:jc w:val="center"/>
        <w:rPr>
          <w:rFonts w:ascii="Century" w:hAnsi="Century"/>
          <w:color w:val="4A2602"/>
          <w:sz w:val="44"/>
          <w:szCs w:val="44"/>
        </w:rPr>
      </w:pPr>
      <w:r w:rsidRPr="001568B2">
        <w:rPr>
          <w:rFonts w:ascii="Century" w:hAnsi="Century"/>
          <w:iCs/>
          <w:noProof/>
        </w:rPr>
        <w:drawing>
          <wp:anchor distT="0" distB="0" distL="114300" distR="114300" simplePos="0" relativeHeight="251660288" behindDoc="1" locked="0" layoutInCell="1" allowOverlap="1" wp14:anchorId="4F613A49" wp14:editId="48C0CFDA">
            <wp:simplePos x="0" y="0"/>
            <wp:positionH relativeFrom="margin">
              <wp:posOffset>219074</wp:posOffset>
            </wp:positionH>
            <wp:positionV relativeFrom="paragraph">
              <wp:posOffset>-361950</wp:posOffset>
            </wp:positionV>
            <wp:extent cx="6562725" cy="1828800"/>
            <wp:effectExtent l="0" t="0" r="0" b="0"/>
            <wp:wrapNone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b="2233"/>
                    <a:stretch/>
                  </pic:blipFill>
                  <pic:spPr bwMode="auto">
                    <a:xfrm flipV="1">
                      <a:off x="0" y="0"/>
                      <a:ext cx="65627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B2">
        <w:rPr>
          <w:rFonts w:ascii="Century" w:hAnsi="Century"/>
          <w:color w:val="4A2602"/>
          <w:sz w:val="44"/>
          <w:szCs w:val="44"/>
        </w:rPr>
        <w:br/>
      </w:r>
      <w:r w:rsidR="001568B2">
        <w:rPr>
          <w:rFonts w:ascii="Century" w:hAnsi="Century"/>
          <w:color w:val="4A2602"/>
          <w:sz w:val="44"/>
          <w:szCs w:val="44"/>
        </w:rPr>
        <w:br/>
      </w:r>
      <w:r w:rsidR="00BF1083" w:rsidRPr="001568B2">
        <w:rPr>
          <w:rFonts w:ascii="Century" w:hAnsi="Century"/>
          <w:color w:val="4A2602"/>
          <w:sz w:val="44"/>
          <w:szCs w:val="44"/>
        </w:rPr>
        <w:t xml:space="preserve">Jones County </w:t>
      </w:r>
      <w:r w:rsidR="00B06B22" w:rsidRPr="001568B2">
        <w:rPr>
          <w:rFonts w:ascii="Century" w:hAnsi="Century"/>
          <w:color w:val="4A2602"/>
          <w:sz w:val="44"/>
          <w:szCs w:val="44"/>
        </w:rPr>
        <w:t>School System</w:t>
      </w:r>
    </w:p>
    <w:p w14:paraId="28A69C80" w14:textId="35145B4F" w:rsidR="00257B71" w:rsidRPr="001568B2" w:rsidRDefault="005D31FB" w:rsidP="001568B2">
      <w:pPr>
        <w:spacing w:after="0"/>
        <w:ind w:left="86"/>
        <w:jc w:val="center"/>
        <w:rPr>
          <w:rFonts w:ascii="Century" w:hAnsi="Century"/>
          <w:b w:val="0"/>
          <w:bCs w:val="0"/>
          <w:color w:val="4A2602"/>
          <w:sz w:val="32"/>
          <w:szCs w:val="32"/>
        </w:rPr>
      </w:pPr>
      <w:r w:rsidRPr="001568B2">
        <w:rPr>
          <w:rFonts w:ascii="Century" w:eastAsiaTheme="majorEastAsia" w:hAnsi="Century" w:cstheme="majorBidi"/>
          <w:color w:val="4A2602"/>
          <w:sz w:val="32"/>
          <w:szCs w:val="32"/>
        </w:rPr>
        <w:t xml:space="preserve">Career, Technical, </w:t>
      </w:r>
      <w:r w:rsidR="001568B2" w:rsidRPr="001568B2">
        <w:rPr>
          <w:rFonts w:ascii="Century" w:eastAsiaTheme="majorEastAsia" w:hAnsi="Century" w:cstheme="majorBidi"/>
          <w:color w:val="4A2602"/>
          <w:sz w:val="32"/>
          <w:szCs w:val="32"/>
        </w:rPr>
        <w:t>&amp;</w:t>
      </w:r>
      <w:r w:rsidRPr="001568B2">
        <w:rPr>
          <w:rFonts w:ascii="Century" w:eastAsiaTheme="majorEastAsia" w:hAnsi="Century" w:cstheme="majorBidi"/>
          <w:color w:val="4A2602"/>
          <w:sz w:val="32"/>
          <w:szCs w:val="32"/>
        </w:rPr>
        <w:t xml:space="preserve"> Agricultural Education Programs</w:t>
      </w:r>
      <w:r w:rsidR="001568B2" w:rsidRPr="001568B2">
        <w:rPr>
          <w:rFonts w:ascii="Times New Roman" w:hAnsi="Times New Roman" w:cs="Times New Roman"/>
          <w:sz w:val="32"/>
          <w:szCs w:val="32"/>
        </w:rPr>
        <w:br/>
      </w:r>
      <w:r w:rsidR="00BF1083" w:rsidRPr="001568B2">
        <w:rPr>
          <w:rFonts w:ascii="Century" w:hAnsi="Century"/>
          <w:b w:val="0"/>
          <w:bCs w:val="0"/>
          <w:color w:val="4A2602"/>
          <w:sz w:val="32"/>
          <w:szCs w:val="32"/>
        </w:rPr>
        <w:t xml:space="preserve">Fall Advisory Committee </w:t>
      </w:r>
      <w:r w:rsidR="002C7EAA" w:rsidRPr="001568B2">
        <w:rPr>
          <w:rFonts w:ascii="Century" w:hAnsi="Century"/>
          <w:b w:val="0"/>
          <w:bCs w:val="0"/>
          <w:color w:val="4A2602"/>
          <w:sz w:val="32"/>
          <w:szCs w:val="32"/>
        </w:rPr>
        <w:t>Meeting</w:t>
      </w:r>
      <w:r w:rsidR="00B06B22" w:rsidRPr="001568B2">
        <w:rPr>
          <w:rFonts w:ascii="Century" w:hAnsi="Century"/>
          <w:b w:val="0"/>
          <w:bCs w:val="0"/>
          <w:color w:val="4A2602"/>
          <w:sz w:val="32"/>
          <w:szCs w:val="32"/>
        </w:rPr>
        <w:t xml:space="preserve"> Agenda</w:t>
      </w:r>
    </w:p>
    <w:p w14:paraId="1ACE994B" w14:textId="7FFD4D8E" w:rsidR="00257B71" w:rsidRPr="001568B2" w:rsidRDefault="002C7EAA" w:rsidP="001568B2">
      <w:pPr>
        <w:pStyle w:val="Heading1"/>
        <w:spacing w:before="0"/>
        <w:ind w:left="0" w:right="0"/>
        <w:jc w:val="center"/>
        <w:rPr>
          <w:rFonts w:ascii="Century" w:hAnsi="Century"/>
          <w:b w:val="0"/>
          <w:bCs w:val="0"/>
          <w:color w:val="4A2602"/>
          <w:sz w:val="32"/>
          <w:szCs w:val="32"/>
        </w:rPr>
      </w:pPr>
      <w:r w:rsidRPr="001568B2">
        <w:rPr>
          <w:rFonts w:ascii="Century" w:hAnsi="Century"/>
          <w:b w:val="0"/>
          <w:bCs w:val="0"/>
          <w:color w:val="4A2602"/>
          <w:sz w:val="32"/>
          <w:szCs w:val="32"/>
        </w:rPr>
        <w:t>October 19, 2021</w:t>
      </w:r>
    </w:p>
    <w:p w14:paraId="6677BD1F" w14:textId="49021CA7" w:rsidR="005D31FB" w:rsidRPr="001568B2" w:rsidRDefault="002C7EAA" w:rsidP="001568B2">
      <w:pPr>
        <w:pStyle w:val="Heading1"/>
        <w:spacing w:before="0"/>
        <w:ind w:left="0" w:right="0"/>
        <w:jc w:val="center"/>
        <w:rPr>
          <w:rFonts w:ascii="Century" w:hAnsi="Century"/>
          <w:b w:val="0"/>
          <w:bCs w:val="0"/>
          <w:i/>
          <w:sz w:val="32"/>
          <w:szCs w:val="32"/>
        </w:rPr>
      </w:pPr>
      <w:r w:rsidRPr="001568B2">
        <w:rPr>
          <w:rFonts w:ascii="Century" w:hAnsi="Century"/>
          <w:b w:val="0"/>
          <w:bCs w:val="0"/>
          <w:color w:val="4A2602"/>
          <w:sz w:val="32"/>
          <w:szCs w:val="32"/>
        </w:rPr>
        <w:t>5:00 p.m</w:t>
      </w:r>
      <w:r w:rsidR="00181187" w:rsidRPr="001568B2">
        <w:rPr>
          <w:rFonts w:ascii="Century" w:hAnsi="Century"/>
          <w:b w:val="0"/>
          <w:bCs w:val="0"/>
          <w:color w:val="4A2602"/>
          <w:sz w:val="32"/>
          <w:szCs w:val="32"/>
        </w:rPr>
        <w:t>.</w:t>
      </w:r>
      <w:r w:rsidR="00181187" w:rsidRPr="001568B2">
        <w:rPr>
          <w:rFonts w:ascii="Century" w:hAnsi="Century"/>
          <w:b w:val="0"/>
          <w:bCs w:val="0"/>
          <w:sz w:val="32"/>
          <w:szCs w:val="32"/>
        </w:rPr>
        <w:br/>
      </w:r>
    </w:p>
    <w:p w14:paraId="253CC91A" w14:textId="13AC90D5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 w:rsidRPr="00B06B22">
        <w:rPr>
          <w:rFonts w:ascii="Century" w:hAnsi="Century"/>
          <w:b w:val="0"/>
          <w:bCs w:val="0"/>
          <w:iCs/>
        </w:rPr>
        <w:t>Welcome</w:t>
      </w:r>
      <w:r w:rsidR="0096321A">
        <w:rPr>
          <w:rFonts w:ascii="Century" w:hAnsi="Century"/>
          <w:b w:val="0"/>
          <w:bCs w:val="0"/>
          <w:iCs/>
        </w:rPr>
        <w:t xml:space="preserve"> &amp; </w:t>
      </w:r>
      <w:r w:rsidR="00E72E66" w:rsidRPr="00B06B22">
        <w:rPr>
          <w:rFonts w:ascii="Century" w:hAnsi="Century"/>
          <w:b w:val="0"/>
          <w:bCs w:val="0"/>
          <w:iCs/>
        </w:rPr>
        <w:t>CTAE</w:t>
      </w:r>
      <w:r>
        <w:rPr>
          <w:rFonts w:ascii="Century" w:hAnsi="Century"/>
          <w:b w:val="0"/>
          <w:bCs w:val="0"/>
          <w:iCs/>
        </w:rPr>
        <w:t>/CCA</w:t>
      </w:r>
      <w:r w:rsidR="002C7EAA" w:rsidRPr="00B06B22">
        <w:rPr>
          <w:rFonts w:ascii="Century" w:hAnsi="Century"/>
          <w:b w:val="0"/>
          <w:bCs w:val="0"/>
          <w:iCs/>
        </w:rPr>
        <w:t xml:space="preserve"> Overview</w:t>
      </w:r>
      <w:r w:rsidR="0096321A">
        <w:rPr>
          <w:rFonts w:ascii="Century" w:hAnsi="Century"/>
          <w:b w:val="0"/>
          <w:bCs w:val="0"/>
          <w:iCs/>
        </w:rPr>
        <w:t>…</w:t>
      </w:r>
      <w:r>
        <w:rPr>
          <w:rFonts w:ascii="Century" w:hAnsi="Century"/>
          <w:b w:val="0"/>
          <w:bCs w:val="0"/>
          <w:iCs/>
        </w:rPr>
        <w:t>Laura Rackley, Exec. Director College/CTAE</w:t>
      </w:r>
      <w:r w:rsidR="0096321A">
        <w:rPr>
          <w:rFonts w:ascii="Century" w:hAnsi="Century"/>
          <w:b w:val="0"/>
          <w:bCs w:val="0"/>
          <w:iCs/>
        </w:rPr>
        <w:t xml:space="preserve"> Programs</w:t>
      </w:r>
      <w:r>
        <w:rPr>
          <w:rFonts w:ascii="Century" w:hAnsi="Century"/>
          <w:b w:val="0"/>
          <w:bCs w:val="0"/>
          <w:iCs/>
        </w:rPr>
        <w:t xml:space="preserve"> </w:t>
      </w:r>
    </w:p>
    <w:p w14:paraId="4511F3F4" w14:textId="2FE277CC" w:rsidR="00B06B22" w:rsidRDefault="00DA038F" w:rsidP="00DA038F">
      <w:pPr>
        <w:tabs>
          <w:tab w:val="right" w:leader="dot" w:pos="10440"/>
        </w:tabs>
        <w:spacing w:after="0"/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  <w:u w:val="single"/>
        </w:rPr>
        <w:br/>
      </w:r>
      <w:r w:rsidR="00B06B22" w:rsidRPr="00DA038F">
        <w:rPr>
          <w:rFonts w:ascii="Century" w:hAnsi="Century"/>
          <w:b w:val="0"/>
          <w:bCs w:val="0"/>
          <w:iCs/>
          <w:u w:val="single"/>
        </w:rPr>
        <w:t>Breakout Sessions</w:t>
      </w:r>
      <w:r w:rsidR="00B06B22">
        <w:rPr>
          <w:rFonts w:ascii="Century" w:hAnsi="Century"/>
          <w:b w:val="0"/>
          <w:bCs w:val="0"/>
          <w:iCs/>
        </w:rPr>
        <w:t>:</w:t>
      </w:r>
    </w:p>
    <w:p w14:paraId="368F37E9" w14:textId="289CED48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Agriculture, Food, and Natural Resources</w:t>
      </w:r>
      <w:r>
        <w:rPr>
          <w:rFonts w:ascii="Century" w:hAnsi="Century"/>
          <w:b w:val="0"/>
          <w:bCs w:val="0"/>
          <w:iCs/>
        </w:rPr>
        <w:tab/>
        <w:t>Ag Suite, Mr. Martin’s Room</w:t>
      </w:r>
    </w:p>
    <w:p w14:paraId="01F9F057" w14:textId="04004080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Architecture and Construction</w:t>
      </w:r>
      <w:r>
        <w:rPr>
          <w:rFonts w:ascii="Century" w:hAnsi="Century"/>
          <w:b w:val="0"/>
          <w:bCs w:val="0"/>
          <w:iCs/>
        </w:rPr>
        <w:tab/>
        <w:t>Mr. Dipaolo’s Construction Lab</w:t>
      </w:r>
    </w:p>
    <w:p w14:paraId="674C7EDB" w14:textId="1E3B2E20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Arts, A/V Technology, and Communications</w:t>
      </w:r>
      <w:r>
        <w:rPr>
          <w:rFonts w:ascii="Century" w:hAnsi="Century"/>
          <w:b w:val="0"/>
          <w:bCs w:val="0"/>
          <w:iCs/>
        </w:rPr>
        <w:tab/>
        <w:t>Mr. Gillhouse’s AVT Lab</w:t>
      </w:r>
    </w:p>
    <w:p w14:paraId="33C90D1F" w14:textId="6064D84B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Business, I</w:t>
      </w:r>
      <w:r w:rsidR="001267FC">
        <w:rPr>
          <w:rFonts w:ascii="Century" w:hAnsi="Century"/>
          <w:b w:val="0"/>
          <w:bCs w:val="0"/>
          <w:iCs/>
        </w:rPr>
        <w:t xml:space="preserve">nformation </w:t>
      </w:r>
      <w:r>
        <w:rPr>
          <w:rFonts w:ascii="Century" w:hAnsi="Century"/>
          <w:b w:val="0"/>
          <w:bCs w:val="0"/>
          <w:iCs/>
        </w:rPr>
        <w:t>T</w:t>
      </w:r>
      <w:r w:rsidR="001267FC">
        <w:rPr>
          <w:rFonts w:ascii="Century" w:hAnsi="Century"/>
          <w:b w:val="0"/>
          <w:bCs w:val="0"/>
          <w:iCs/>
        </w:rPr>
        <w:t>echnology</w:t>
      </w:r>
      <w:r>
        <w:rPr>
          <w:rFonts w:ascii="Century" w:hAnsi="Century"/>
          <w:b w:val="0"/>
          <w:bCs w:val="0"/>
          <w:iCs/>
        </w:rPr>
        <w:t xml:space="preserve">, </w:t>
      </w:r>
      <w:r w:rsidR="001267FC">
        <w:rPr>
          <w:rFonts w:ascii="Century" w:hAnsi="Century"/>
          <w:b w:val="0"/>
          <w:bCs w:val="0"/>
          <w:iCs/>
        </w:rPr>
        <w:t xml:space="preserve">and </w:t>
      </w:r>
      <w:r>
        <w:rPr>
          <w:rFonts w:ascii="Century" w:hAnsi="Century"/>
          <w:b w:val="0"/>
          <w:bCs w:val="0"/>
          <w:iCs/>
        </w:rPr>
        <w:t>Marketing</w:t>
      </w:r>
      <w:r>
        <w:rPr>
          <w:rFonts w:ascii="Century" w:hAnsi="Century"/>
          <w:b w:val="0"/>
          <w:bCs w:val="0"/>
          <w:iCs/>
        </w:rPr>
        <w:tab/>
        <w:t>Mr. Jarvis’ Lab</w:t>
      </w:r>
    </w:p>
    <w:p w14:paraId="177E126B" w14:textId="0FA9C9D3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 w:rsidRPr="5924EE0D">
        <w:rPr>
          <w:rFonts w:ascii="Century" w:hAnsi="Century"/>
          <w:b w:val="0"/>
          <w:bCs w:val="0"/>
        </w:rPr>
        <w:t>Education &amp; Training</w:t>
      </w:r>
      <w:r>
        <w:tab/>
      </w:r>
      <w:r w:rsidRPr="5924EE0D">
        <w:rPr>
          <w:rFonts w:ascii="Century" w:hAnsi="Century"/>
          <w:b w:val="0"/>
          <w:bCs w:val="0"/>
        </w:rPr>
        <w:t>Mrs. Aubry’s Lab</w:t>
      </w:r>
    </w:p>
    <w:p w14:paraId="181E1137" w14:textId="62D07F92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Health Science</w:t>
      </w:r>
      <w:r>
        <w:rPr>
          <w:rFonts w:ascii="Century" w:hAnsi="Century"/>
          <w:b w:val="0"/>
          <w:bCs w:val="0"/>
          <w:iCs/>
        </w:rPr>
        <w:tab/>
        <w:t>Mrs. Spencer’s Lab</w:t>
      </w:r>
    </w:p>
    <w:p w14:paraId="66149DE0" w14:textId="57663B36" w:rsidR="00B06B22" w:rsidRDefault="00B06B2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Human Services – Family and Consumer Science</w:t>
      </w:r>
      <w:r>
        <w:rPr>
          <w:rFonts w:ascii="Century" w:hAnsi="Century"/>
          <w:b w:val="0"/>
          <w:bCs w:val="0"/>
          <w:iCs/>
        </w:rPr>
        <w:tab/>
        <w:t>FACS Lab</w:t>
      </w:r>
    </w:p>
    <w:p w14:paraId="179EC7D8" w14:textId="206C3F65" w:rsidR="00B06B22" w:rsidRDefault="001267FC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Cs/>
        </w:rPr>
      </w:pPr>
      <w:r>
        <w:rPr>
          <w:rFonts w:ascii="Century" w:hAnsi="Century"/>
          <w:b w:val="0"/>
          <w:bCs w:val="0"/>
          <w:iCs/>
        </w:rPr>
        <w:t>Engineering</w:t>
      </w:r>
      <w:r w:rsidR="00B06B22">
        <w:rPr>
          <w:rFonts w:ascii="Century" w:hAnsi="Century"/>
          <w:b w:val="0"/>
          <w:bCs w:val="0"/>
          <w:iCs/>
        </w:rPr>
        <w:tab/>
        <w:t>Mrs. Jackson’s Lab</w:t>
      </w:r>
    </w:p>
    <w:p w14:paraId="52705A5B" w14:textId="66067CA7" w:rsidR="00E72E66" w:rsidRPr="002C7EAA" w:rsidRDefault="001568B2" w:rsidP="00B06B22">
      <w:pPr>
        <w:tabs>
          <w:tab w:val="right" w:leader="dot" w:pos="10440"/>
        </w:tabs>
        <w:ind w:left="446" w:right="86"/>
        <w:rPr>
          <w:rFonts w:ascii="Century" w:hAnsi="Century"/>
          <w:b w:val="0"/>
          <w:bCs w:val="0"/>
          <w:i/>
        </w:rPr>
      </w:pPr>
      <w:r>
        <w:rPr>
          <w:rFonts w:ascii="Century" w:hAnsi="Century"/>
          <w:b w:val="0"/>
          <w:bCs w:val="0"/>
          <w:iCs/>
          <w:noProof/>
        </w:rPr>
        <w:drawing>
          <wp:anchor distT="0" distB="0" distL="114300" distR="114300" simplePos="0" relativeHeight="251658240" behindDoc="0" locked="0" layoutInCell="1" allowOverlap="1" wp14:anchorId="24D3EA3C" wp14:editId="35C3C81C">
            <wp:simplePos x="0" y="0"/>
            <wp:positionH relativeFrom="margin">
              <wp:posOffset>514350</wp:posOffset>
            </wp:positionH>
            <wp:positionV relativeFrom="paragraph">
              <wp:posOffset>300990</wp:posOffset>
            </wp:positionV>
            <wp:extent cx="6191250" cy="1482285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b="2233"/>
                    <a:stretch/>
                  </pic:blipFill>
                  <pic:spPr bwMode="auto">
                    <a:xfrm>
                      <a:off x="0" y="0"/>
                      <a:ext cx="6191250" cy="148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22">
        <w:rPr>
          <w:rFonts w:ascii="Century" w:hAnsi="Century"/>
          <w:b w:val="0"/>
          <w:bCs w:val="0"/>
          <w:i/>
        </w:rPr>
        <w:t>*Each breakout session will r</w:t>
      </w:r>
      <w:r w:rsidR="00E72E66">
        <w:rPr>
          <w:rFonts w:ascii="Century" w:hAnsi="Century"/>
          <w:b w:val="0"/>
          <w:bCs w:val="0"/>
          <w:i/>
        </w:rPr>
        <w:t xml:space="preserve">eview </w:t>
      </w:r>
      <w:r w:rsidR="00B06B22">
        <w:rPr>
          <w:rFonts w:ascii="Century" w:hAnsi="Century"/>
          <w:b w:val="0"/>
          <w:bCs w:val="0"/>
          <w:i/>
        </w:rPr>
        <w:t>pathways, course s</w:t>
      </w:r>
      <w:r w:rsidR="00E72E66">
        <w:rPr>
          <w:rFonts w:ascii="Century" w:hAnsi="Century"/>
          <w:b w:val="0"/>
          <w:bCs w:val="0"/>
          <w:i/>
        </w:rPr>
        <w:t xml:space="preserve">tandards, </w:t>
      </w:r>
      <w:r w:rsidR="00B06B22">
        <w:rPr>
          <w:rFonts w:ascii="Century" w:hAnsi="Century"/>
          <w:b w:val="0"/>
          <w:bCs w:val="0"/>
          <w:i/>
        </w:rPr>
        <w:t>e</w:t>
      </w:r>
      <w:r w:rsidR="00E72E66">
        <w:rPr>
          <w:rFonts w:ascii="Century" w:hAnsi="Century"/>
          <w:b w:val="0"/>
          <w:bCs w:val="0"/>
          <w:i/>
        </w:rPr>
        <w:t xml:space="preserve">quipment, and </w:t>
      </w:r>
      <w:r w:rsidR="00B06B22">
        <w:rPr>
          <w:rFonts w:ascii="Century" w:hAnsi="Century"/>
          <w:b w:val="0"/>
          <w:bCs w:val="0"/>
          <w:i/>
        </w:rPr>
        <w:t>r</w:t>
      </w:r>
      <w:r w:rsidR="00E72E66">
        <w:rPr>
          <w:rFonts w:ascii="Century" w:hAnsi="Century"/>
          <w:b w:val="0"/>
          <w:bCs w:val="0"/>
          <w:i/>
        </w:rPr>
        <w:t>esources</w:t>
      </w:r>
      <w:r w:rsidR="00B06B22">
        <w:rPr>
          <w:rFonts w:ascii="Century" w:hAnsi="Century"/>
          <w:b w:val="0"/>
          <w:bCs w:val="0"/>
          <w:i/>
        </w:rPr>
        <w:br/>
        <w:t xml:space="preserve"> for valuable feedback from business/industry. </w:t>
      </w:r>
    </w:p>
    <w:sectPr w:rsidR="00E72E66" w:rsidRPr="002C7EAA" w:rsidSect="00B06B22">
      <w:pgSz w:w="12240" w:h="15840"/>
      <w:pgMar w:top="810" w:right="630" w:bottom="990" w:left="630" w:header="720" w:footer="720" w:gutter="0"/>
      <w:pgBorders w:offsetFrom="page">
        <w:top w:val="threeDEmboss" w:sz="48" w:space="24" w:color="4F141B" w:themeColor="accent2" w:themeShade="80"/>
        <w:left w:val="threeDEmboss" w:sz="48" w:space="24" w:color="4F141B" w:themeColor="accent2" w:themeShade="80"/>
        <w:bottom w:val="threeDEmboss" w:sz="48" w:space="24" w:color="4F141B" w:themeColor="accent2" w:themeShade="80"/>
        <w:right w:val="threeDEmboss" w:sz="48" w:space="24" w:color="4F141B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5D322" w14:textId="77777777" w:rsidR="00E32627" w:rsidRDefault="00E32627">
      <w:r>
        <w:separator/>
      </w:r>
    </w:p>
  </w:endnote>
  <w:endnote w:type="continuationSeparator" w:id="0">
    <w:p w14:paraId="688D1DD3" w14:textId="77777777" w:rsidR="00E32627" w:rsidRDefault="00E3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9BAE8" w14:textId="77777777" w:rsidR="00E32627" w:rsidRDefault="00E32627">
      <w:r>
        <w:separator/>
      </w:r>
    </w:p>
  </w:footnote>
  <w:footnote w:type="continuationSeparator" w:id="0">
    <w:p w14:paraId="2A9B7718" w14:textId="77777777" w:rsidR="00E32627" w:rsidRDefault="00E32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544D0"/>
    <w:multiLevelType w:val="hybridMultilevel"/>
    <w:tmpl w:val="69A43DA2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83"/>
    <w:rsid w:val="00020332"/>
    <w:rsid w:val="000D7A47"/>
    <w:rsid w:val="001267FC"/>
    <w:rsid w:val="001512FB"/>
    <w:rsid w:val="001568B2"/>
    <w:rsid w:val="00181187"/>
    <w:rsid w:val="00257B71"/>
    <w:rsid w:val="002C7EAA"/>
    <w:rsid w:val="004468AF"/>
    <w:rsid w:val="005748D4"/>
    <w:rsid w:val="005D31FB"/>
    <w:rsid w:val="00601D61"/>
    <w:rsid w:val="00666FB5"/>
    <w:rsid w:val="0096321A"/>
    <w:rsid w:val="00B06B22"/>
    <w:rsid w:val="00BF1083"/>
    <w:rsid w:val="00BF4090"/>
    <w:rsid w:val="00C12C82"/>
    <w:rsid w:val="00C67066"/>
    <w:rsid w:val="00DA038F"/>
    <w:rsid w:val="00E32627"/>
    <w:rsid w:val="00E72E66"/>
    <w:rsid w:val="5924E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12B866"/>
  <w15:chartTrackingRefBased/>
  <w15:docId w15:val="{F704F37B-DE34-40A3-B726-07CFC055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600" w:after="0"/>
      <w:ind w:left="-2966" w:right="-720"/>
      <w:jc w:val="right"/>
      <w:outlineLvl w:val="0"/>
    </w:pPr>
    <w:rPr>
      <w:rFonts w:asciiTheme="majorHAnsi" w:eastAsiaTheme="majorEastAsia" w:hAnsiTheme="majorHAnsi" w:cstheme="majorBidi"/>
      <w:color w:val="783F04" w:themeColor="accent1" w:themeShade="80"/>
      <w:sz w:val="104"/>
      <w:szCs w:val="10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 w:line="240" w:lineRule="auto"/>
      <w:ind w:right="-360"/>
      <w:outlineLvl w:val="1"/>
    </w:pPr>
    <w:rPr>
      <w:rFonts w:asciiTheme="majorHAnsi" w:eastAsiaTheme="majorEastAsia" w:hAnsiTheme="majorHAnsi" w:cstheme="majorBidi"/>
      <w:b w:val="0"/>
      <w:bCs w:val="0"/>
      <w:color w:val="664D26" w:themeColor="accent6" w:themeShade="80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color w:val="664D2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BF10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6B22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6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ngall.com/autumn-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rackley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304683C-2AB8-469D-BFE3-AB52798F6D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</Template>
  <TotalTime>1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Rackley, Laura</dc:creator>
  <cp:keywords/>
  <cp:lastModifiedBy>Rackley, Laura</cp:lastModifiedBy>
  <cp:revision>8</cp:revision>
  <dcterms:created xsi:type="dcterms:W3CDTF">2021-09-16T16:06:00Z</dcterms:created>
  <dcterms:modified xsi:type="dcterms:W3CDTF">2021-10-19T15:31:00Z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TC034643839991</vt:lpwstr>
  </property>
</Properties>
</file>